
<file path=[Content_Types].xml><?xml version="1.0" encoding="utf-8"?>
<Types xmlns="http://schemas.openxmlformats.org/package/2006/content-types">
  <Default ContentType="image/png" Extension="png"/>
  <Default ContentType="image/jpeg" Extension="jpeg"/>
  <Default ContentType="image/jpeg" Extension="jpg"/>
  <Default ContentType="image/bmp" Extension="bmp"/>
  <Default ContentType="image/gif" Extension="gif"/>
  <Default ContentType="image/svg+xml" Extension="svg"/>
  <Default ContentType="application/vnd.openxmlformats-package.relationships+xml" Extension="rels"/>
  <Default ContentType="application/xml" Extension="xml"/>
  <Default ContentType="application/vnd.openxmlformats-officedocument.obfuscatedFont" Extension="odttf"/>
  <Override ContentType="application/vnd.openxmlformats-officedocument.wordprocessingml.document.main+xml" PartName="/word/document.xml"/>
  <Override ContentType="application/vnd.openxmlformats-officedocument.wordprocessingml.styles+xml" PartName="/word/styles.xml"/>
  <Override ContentType="application/vnd.openxmlformats-package.core-properties+xml" PartName="/docProps/core.xml"/>
  <Override ContentType="application/vnd.openxmlformats-officedocument.custom-properties+xml" PartName="/docProps/custom.xml"/>
  <Override ContentType="application/vnd.openxmlformats-officedocument.extended-properties+xml" PartName="/docProps/app.xml"/>
  <Override ContentType="application/vnd.openxmlformats-officedocument.wordprocessingml.numbering+xml" PartName="/word/numbering.xml"/>
  <Override ContentType="application/vnd.openxmlformats-officedocument.wordprocessingml.footnotes+xml" PartName="/word/footnotes.xml"/>
  <Override ContentType="application/vnd.openxmlformats-officedocument.wordprocessingml.settings+xml" PartName="/word/settings.xml"/>
  <Override ContentType="application/vnd.openxmlformats-officedocument.wordprocessingml.comments+xml" PartName="/word/comments.xml"/>
  <Override ContentType="application/vnd.openxmlformats-officedocument.wordprocessingml.fontTable+xml" PartName="/word/fontTable.xml"/>
  <Override ContentType="application/vnd.openxmlformats-officedocument.wordprocessingml.header+xml" PartName="/word/header1.xml"/>
  <Override ContentType="application/vnd.openxmlformats-officedocument.wordprocessingml.footer+xml" PartName="/word/footer1.xml"/>
</Types>
</file>

<file path=_rels/.rels><?xml version="1.0" encoding="UTF-8"?><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p14">
  <w:body>
    <w:p>
      <w:pPr>
        <w:spacing w:before="2880" w:after="360"/>
        <w:jc w:val="center"/>
      </w:pPr>
      <w:r>
        <w:rPr>
          <w:b/>
          <w:bCs/>
          <w:color w:val="1F4788"/>
          <w:sz w:val="52"/>
          <w:szCs w:val="52"/>
        </w:rPr>
        <w:t xml:space="preserve">TREASURY RELATIVE VALUE</w:t>
      </w:r>
    </w:p>
    <w:p>
      <w:pPr>
        <w:spacing w:after="720"/>
        <w:jc w:val="center"/>
      </w:pPr>
      <w:r>
        <w:rPr>
          <w:color w:val="2E5090"/>
          <w:sz w:val="32"/>
          <w:szCs w:val="32"/>
        </w:rPr>
        <w:t xml:space="preserve">Advanced Quantitative Framework</w:t>
      </w:r>
    </w:p>
    <w:p>
      <w:r>
        <w:br w:type="page"/>
      </w:r>
    </w:p>
    <w:p>
      <w:pPr>
        <w:pStyle w:val="Heading1"/>
      </w:pPr>
      <w:r>
        <w:t xml:space="preserve">1. Regime Detection and Conditional Analysis</w:t>
      </w:r>
    </w:p>
    <w:p>
      <w:pPr>
        <w:spacing w:after="240"/>
      </w:pPr>
      <w:r>
        <w:t xml:space="preserve">Hidden Markov Models classify market conditions into low, elevated, and high volatility regimes.</w:t>
      </w:r>
    </w:p>
    <w:p>
      <w:pPr>
        <w:spacing w:before="240" w:after="360"/>
        <w:jc w:val="center"/>
      </w:pPr>
      <w:r>
        <w:drawing>
          <wp:inline distT="0" distB="0" distL="0" distR="0">
            <wp:extent cx="6191250" cy="4000500"/>
            <wp:effectExtent t="0" r="0" b="0" l="0"/>
            <wp:docPr id="1" name="regime" descr="HMM regime classification" title="Regime Det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 cstate="none"/>
                    <a:srcRect/>
                    <a:stretch>
                      <a:fillRect/>
                    </a:stretch>
                  </pic:blipFill>
                  <pic:spPr bwMode="auto">
                    <a:xfrm>
                      <a:off x="0" y="0"/>
                      <a:ext cx="6191250" cy="4000500"/>
                    </a:xfrm>
                    <a:prstGeom prst="rect">
                      <a:avLst/>
                    </a:prstGeom>
                  </pic:spPr>
                </pic:pic>
              </a:graphicData>
            </a:graphic>
          </wp:inline>
        </w:drawing>
      </w:r>
    </w:p>
    <w:p>
      <w:pPr>
        <w:pStyle w:val="Heading2"/>
      </w:pPr>
      <w:r>
        <w:t xml:space="preserve">1.2 Regime-Conditional Z-Scores</w:t>
      </w:r>
    </w:p>
    <w:p>
      <w:pPr>
        <w:spacing w:after="240"/>
      </w:pPr>
      <w:r>
        <w:t xml:space="preserve">Standard Z-scores assume stationarity. Regime-conditional approach accounts for changing distributions.</w:t>
      </w:r>
    </w:p>
    <w:p>
      <w:pPr>
        <w:spacing w:before="240" w:after="360"/>
        <w:jc w:val="center"/>
      </w:pPr>
      <w:r>
        <w:drawing>
          <wp:inline distT="0" distB="0" distL="0" distR="0">
            <wp:extent cx="6191250" cy="4667250"/>
            <wp:effectExtent t="0" r="0" b="0" l="0"/>
            <wp:docPr id="1" name="zscore" descr="Distribution analysis" title="Z-Score Distribu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 cstate="none"/>
                    <a:srcRect/>
                    <a:stretch>
                      <a:fillRect/>
                    </a:stretch>
                  </pic:blipFill>
                  <pic:spPr bwMode="auto">
                    <a:xfrm>
                      <a:off x="0" y="0"/>
                      <a:ext cx="6191250" cy="4667250"/>
                    </a:xfrm>
                    <a:prstGeom prst="rect">
                      <a:avLst/>
                    </a:prstGeom>
                  </pic:spPr>
                </pic:pic>
              </a:graphicData>
            </a:graphic>
          </wp:inline>
        </w:drawing>
      </w:r>
    </w:p>
    <w:p>
      <w:r>
        <w:br w:type="page"/>
      </w:r>
    </w:p>
    <w:p>
      <w:pPr>
        <w:pStyle w:val="Heading1"/>
      </w:pPr>
      <w:r>
        <w:t xml:space="preserve">2. Custom Curve Fitting Methodologies</w:t>
      </w:r>
    </w:p>
    <w:p>
      <w:pPr>
        <w:spacing w:after="240"/>
      </w:pPr>
      <w:r>
        <w:t xml:space="preserve">Multi-curve spline framework jointly fits Treasury, SOFR, and implied repo curves with regime-aware smoothing.</w:t>
      </w:r>
    </w:p>
    <w:p>
      <w:pPr>
        <w:spacing w:before="240" w:after="360"/>
        <w:jc w:val="center"/>
      </w:pPr>
      <w:r>
        <w:drawing>
          <wp:inline distT="0" distB="0" distL="0" distR="0">
            <wp:extent cx="6667500" cy="3333750"/>
            <wp:effectExtent t="0" r="0" b="0" l="0"/>
            <wp:docPr id="1" name="curve" descr="Custom curve methodologies" title="Curve Fit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 cstate="none"/>
                    <a:srcRect/>
                    <a:stretch>
                      <a:fillRect/>
                    </a:stretch>
                  </pic:blipFill>
                  <pic:spPr bwMode="auto">
                    <a:xfrm>
                      <a:off x="0" y="0"/>
                      <a:ext cx="6667500" cy="3333750"/>
                    </a:xfrm>
                    <a:prstGeom prst="rect">
                      <a:avLst/>
                    </a:prstGeom>
                  </pic:spPr>
                </pic:pic>
              </a:graphicData>
            </a:graphic>
          </wp:inline>
        </w:drawing>
      </w:r>
    </w:p>
    <w:p>
      <w:r>
        <w:br w:type="page"/>
      </w:r>
    </w:p>
    <w:p>
      <w:pPr>
        <w:pStyle w:val="Heading1"/>
      </w:pPr>
      <w:r>
        <w:t xml:space="preserve">3. Treasury Basis Deep Dive</w:t>
      </w:r>
    </w:p>
    <w:p>
      <w:pPr>
        <w:spacing w:after="240"/>
      </w:pPr>
      <w:r>
        <w:t xml:space="preserve">Comprehensive basis analysis incorporating CTD optionality, repo premia, and systematic trading signals.</w:t>
      </w:r>
    </w:p>
    <w:p>
      <w:pPr>
        <w:spacing w:before="240" w:after="360"/>
        <w:jc w:val="center"/>
      </w:pPr>
      <w:r>
        <w:drawing>
          <wp:inline distT="0" distB="0" distL="0" distR="0">
            <wp:extent cx="6667500" cy="5524500"/>
            <wp:effectExtent t="0" r="0" b="0" l="0"/>
            <wp:docPr id="1" name="basis" descr="Treasury basis dynamics" title="Basis Analys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 cstate="none"/>
                    <a:srcRect/>
                    <a:stretch>
                      <a:fillRect/>
                    </a:stretch>
                  </pic:blipFill>
                  <pic:spPr bwMode="auto">
                    <a:xfrm>
                      <a:off x="0" y="0"/>
                      <a:ext cx="6667500" cy="5524500"/>
                    </a:xfrm>
                    <a:prstGeom prst="rect">
                      <a:avLst/>
                    </a:prstGeom>
                  </pic:spPr>
                </pic:pic>
              </a:graphicData>
            </a:graphic>
          </wp:inline>
        </w:drawing>
      </w:r>
    </w:p>
    <w:p>
      <w:r>
        <w:br w:type="page"/>
      </w:r>
    </w:p>
    <w:p>
      <w:pPr>
        <w:pStyle w:val="Heading1"/>
      </w:pPr>
      <w:r>
        <w:t xml:space="preserve">4. Principal Component Analysis</w:t>
      </w:r>
    </w:p>
    <w:p>
      <w:pPr>
        <w:spacing w:after="240"/>
      </w:pPr>
      <w:r>
        <w:t xml:space="preserve">PCA decomposition reduces yield curve to three orthogonal factors: level, slope, and curvature.</w:t>
      </w:r>
    </w:p>
    <w:p>
      <w:pPr>
        <w:spacing w:before="240" w:after="360"/>
        <w:jc w:val="center"/>
      </w:pPr>
      <w:r>
        <w:drawing>
          <wp:inline distT="0" distB="0" distL="0" distR="0">
            <wp:extent cx="6667500" cy="5524500"/>
            <wp:effectExtent t="0" r="0" b="0" l="0"/>
            <wp:docPr id="1" name="pca" descr="Principal components" title="PCA Analys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 cstate="none"/>
                    <a:srcRect/>
                    <a:stretch>
                      <a:fillRect/>
                    </a:stretch>
                  </pic:blipFill>
                  <pic:spPr bwMode="auto">
                    <a:xfrm>
                      <a:off x="0" y="0"/>
                      <a:ext cx="6667500" cy="5524500"/>
                    </a:xfrm>
                    <a:prstGeom prst="rect">
                      <a:avLst/>
                    </a:prstGeom>
                  </pic:spPr>
                </pic:pic>
              </a:graphicData>
            </a:graphic>
          </wp:inline>
        </w:drawing>
      </w:r>
    </w:p>
    <w:p>
      <w:r>
        <w:br w:type="page"/>
      </w:r>
    </w:p>
    <w:p>
      <w:pPr>
        <w:pStyle w:val="Heading1"/>
      </w:pPr>
      <w:r>
        <w:t xml:space="preserve">5. Carry &amp; Rolldown Analysis</w:t>
      </w:r>
    </w:p>
    <w:p>
      <w:pPr>
        <w:spacing w:after="240"/>
      </w:pPr>
      <w:r>
        <w:t xml:space="preserve">Vol-adjusted carry provides risk-normalized metrics for position sizing and strategy selection.</w:t>
      </w:r>
    </w:p>
    <w:p>
      <w:pPr>
        <w:spacing w:before="240" w:after="360"/>
        <w:jc w:val="center"/>
      </w:pPr>
      <w:r>
        <w:drawing>
          <wp:inline distT="0" distB="0" distL="0" distR="0">
            <wp:extent cx="6667500" cy="5524500"/>
            <wp:effectExtent t="0" r="0" b="0" l="0"/>
            <wp:docPr id="1" name="carry" descr="Carry analysis" title="Carry &amp; Rolld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 cstate="none"/>
                    <a:srcRect/>
                    <a:stretch>
                      <a:fillRect/>
                    </a:stretch>
                  </pic:blipFill>
                  <pic:spPr bwMode="auto">
                    <a:xfrm>
                      <a:off x="0" y="0"/>
                      <a:ext cx="6667500" cy="5524500"/>
                    </a:xfrm>
                    <a:prstGeom prst="rect">
                      <a:avLst/>
                    </a:prstGeom>
                  </pic:spPr>
                </pic:pic>
              </a:graphicData>
            </a:graphic>
          </wp:inline>
        </w:drawing>
      </w:r>
    </w:p>
    <w:p>
      <w:r>
        <w:br w:type="page"/>
      </w:r>
    </w:p>
    <w:p>
      <w:pPr>
        <w:pStyle w:val="Heading1"/>
      </w:pPr>
      <w:r>
        <w:t xml:space="preserve">6. Auction Dynamics</w:t>
      </w:r>
    </w:p>
    <w:p>
      <w:pPr>
        <w:spacing w:after="240"/>
      </w:pPr>
      <w:r>
        <w:t xml:space="preserve">Statistical patterns around Treasury auctions provide systematic trading opportunities.</w:t>
      </w:r>
    </w:p>
    <w:p>
      <w:pPr>
        <w:spacing w:before="240" w:after="360"/>
        <w:jc w:val="center"/>
      </w:pPr>
      <w:r>
        <w:drawing>
          <wp:inline distT="0" distB="0" distL="0" distR="0">
            <wp:extent cx="6667500" cy="5524500"/>
            <wp:effectExtent t="0" r="0" b="0" l="0"/>
            <wp:docPr id="1" name="auction" descr="Auction patterns" title="Auction Dynam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 cstate="none"/>
                    <a:srcRect/>
                    <a:stretch>
                      <a:fillRect/>
                    </a:stretch>
                  </pic:blipFill>
                  <pic:spPr bwMode="auto">
                    <a:xfrm>
                      <a:off x="0" y="0"/>
                      <a:ext cx="6667500" cy="5524500"/>
                    </a:xfrm>
                    <a:prstGeom prst="rect">
                      <a:avLst/>
                    </a:prstGeom>
                  </pic:spPr>
                </pic:pic>
              </a:graphicData>
            </a:graphic>
          </wp:inline>
        </w:drawing>
      </w:r>
    </w:p>
    <w:p>
      <w:r>
        <w:br w:type="page"/>
      </w:r>
    </w:p>
    <w:p>
      <w:pPr>
        <w:pStyle w:val="Heading1"/>
      </w:pPr>
      <w:r>
        <w:t xml:space="preserve">7. Volatility Surface Analysis</w:t>
      </w:r>
    </w:p>
    <w:p>
      <w:pPr>
        <w:spacing w:after="240"/>
      </w:pPr>
      <w:r>
        <w:t xml:space="preserve">Swaption volatility surface structure drives relative value across the volatility complex.</w:t>
      </w:r>
    </w:p>
    <w:p>
      <w:pPr>
        <w:spacing w:before="240" w:after="360"/>
        <w:jc w:val="center"/>
      </w:pPr>
      <w:r>
        <w:drawing>
          <wp:inline distT="0" distB="0" distL="0" distR="0">
            <wp:extent cx="6667500" cy="5524500"/>
            <wp:effectExtent t="0" r="0" b="0" l="0"/>
            <wp:docPr id="1" name="vol" descr="Vol surface" title="Volatility Analys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5" cstate="none"/>
                    <a:srcRect/>
                    <a:stretch>
                      <a:fillRect/>
                    </a:stretch>
                  </pic:blipFill>
                  <pic:spPr bwMode="auto">
                    <a:xfrm>
                      <a:off x="0" y="0"/>
                      <a:ext cx="6667500" cy="5524500"/>
                    </a:xfrm>
                    <a:prstGeom prst="rect">
                      <a:avLst/>
                    </a:prstGeom>
                  </pic:spPr>
                </pic:pic>
              </a:graphicData>
            </a:graphic>
          </wp:inline>
        </w:drawing>
      </w:r>
    </w:p>
    <w:p>
      <w:r>
        <w:br w:type="page"/>
      </w:r>
    </w:p>
    <w:p>
      <w:pPr>
        <w:pStyle w:val="Heading1"/>
      </w:pPr>
      <w:r>
        <w:t xml:space="preserve">Conclusion</w:t>
      </w:r>
    </w:p>
    <w:p>
      <w:pPr>
        <w:spacing w:after="240"/>
      </w:pPr>
      <w:r>
        <w:t xml:space="preserve">This quantitative framework integrates regime detection, custom curve fitting, enhanced basis analytics, and comprehensive risk frameworks to provide systematic Treasury RV strategies. The methodologies extend significantly beyond standard tools, incorporating CTD optionality, repo dynamics, vol-adjusted carry, and auction calendar effects.</w:t>
      </w:r>
    </w:p>
    <w:p>
      <w:pPr>
        <w:spacing w:after="360"/>
      </w:pPr>
      <w:r>
        <w:t xml:space="preserve">All frameworks implemented in production-grade Python with extensive backtesting validation across multiple market regimes including March 2020 COVID crisis and March 2023 regional banking stress.</w:t>
      </w:r>
    </w:p>
    <w:p>
      <w:pPr>
        <w:spacing w:before="720"/>
        <w:jc w:val="center"/>
      </w:pPr>
      <w:r>
        <w:rPr>
          <w:color w:val="CCCCCC"/>
        </w:rPr>
        <w:t xml:space="preserve">_______________</w:t>
      </w:r>
    </w:p>
    <w:p>
      <w:pPr>
        <w:spacing w:before="240"/>
        <w:jc w:val="center"/>
      </w:pPr>
      <w:r>
        <w:rPr>
          <w:i/>
          <w:iCs/>
          <w:color w:val="666666"/>
          <w:sz w:val="20"/>
          <w:szCs w:val="20"/>
        </w:rPr>
        <w:t xml:space="preserve">Comprehensive research framework for institutional fixed income trading operations.</w:t>
      </w:r>
    </w:p>
    <w:sectPr>
      <w:headerReference w:type="default" r:id="rId6"/>
      <w:footerReference w:type="default" r:id="rId7"/>
      <w:pgSz w:w="12240" w:h="15840" w:orient="portrait"/>
      <w:pgMar w:top="1440" w:right="1440" w:bottom="1440" w:left="1440" w:header="708" w:footer="708" w:gutter="0"/>
      <w:pgNumType/>
      <w:docGrid w:linePitch="360"/>
    </w:sectPr>
  </w:body>
</w:document>
</file>

<file path=word/comments.xml><?xml version="1.0" encoding="utf-8"?>
<w:comment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w:p>
    <w:pPr>
      <w:jc w:val="center"/>
    </w:pPr>
    <w:r>
      <w:rPr>
        <w:color w:val="666666"/>
        <w:sz w:val="18"/>
        <w:szCs w:val="18"/>
      </w:rPr>
      <w:t xml:space="preserve">Page </w:t>
    </w:r>
    <w:r>
      <w:rPr>
        <w:color w:val="666666"/>
        <w:sz w:val="18"/>
        <w:szCs w:val="18"/>
      </w:rPr>
      <w:fldChar w:fldCharType="begin"/>
      <w:instrText xml:space="preserve">PAGE</w:instrText>
      <w:fldChar w:fldCharType="separate"/>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pPr>
        <w:spacing w:after="0" w:line="240" w:lineRule="auto"/>
      </w:pPr>
      <w:r>
        <w:rPr>
          <w:rStyle w:val="FootnoteReference"/>
        </w:rPr>
        <w:footnoteRef/>
      </w:r>
      <w:r>
        <w:separator/>
      </w:r>
    </w:p>
  </w:footnote>
  <w:footnote w:type="continuationSeparator" w:id="0">
    <w:p>
      <w:pPr>
        <w:spacing w:after="0" w:line="240" w:lineRule="auto"/>
      </w:pPr>
      <w:r>
        <w:rPr>
          <w:rStyle w:val="FootnoteReference"/>
        </w:rPr>
        <w:footnoteRef/>
      </w: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w16cid="http://schemas.microsoft.com/office/word/2016/wordml/cid" xmlns:w16se="http://schemas.microsoft.com/office/word/2015/wordml/symex">
  <w:p>
    <w:pPr>
      <w:pBdr>
        <w:bottom w:val="single" w:color="CCCCCC" w:sz="6" w:space="1"/>
      </w:pBdr>
      <w:jc w:val="left"/>
    </w:pPr>
    <w:r>
      <w:rPr>
        <w:color w:val="666666"/>
        <w:sz w:val="18"/>
        <w:szCs w:val="18"/>
      </w:rPr>
      <w:t xml:space="preserve">Treasury RV: Advanced Quantitative Framework</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1" w15:restartNumberingAfterBreak="0">
    <w:multiLevelType w:val="hybridMultilevel"/>
    <w:lvl w:ilvl="0" w15:tentative="1">
      <w:start w:val="1"/>
      <w:numFmt w:val="bullet"/>
      <w:lvlText w:val="●"/>
      <w:lvlJc w:val="left"/>
      <w:pPr>
        <w:ind w:left="720" w:hanging="360"/>
      </w:pPr>
    </w:lvl>
    <w:lvl w:ilvl="1" w15:tentative="1">
      <w:start w:val="1"/>
      <w:numFmt w:val="bullet"/>
      <w:lvlText w:val="○"/>
      <w:lvlJc w:val="left"/>
      <w:pPr>
        <w:ind w:left="1440" w:hanging="360"/>
      </w:pPr>
    </w:lvl>
    <w:lvl w:ilvl="2" w15:tentative="1">
      <w:start w:val="1"/>
      <w:numFmt w:val="bullet"/>
      <w:lvlText w:val="■"/>
      <w:lvlJc w:val="left"/>
      <w:pPr>
        <w:ind w:left="2160" w:hanging="360"/>
      </w:pPr>
    </w:lvl>
    <w:lvl w:ilvl="3" w15:tentative="1">
      <w:start w:val="1"/>
      <w:numFmt w:val="bullet"/>
      <w:lvlText w:val="●"/>
      <w:lvlJc w:val="left"/>
      <w:pPr>
        <w:ind w:left="2880" w:hanging="360"/>
      </w:pPr>
    </w:lvl>
    <w:lvl w:ilvl="4" w15:tentative="1">
      <w:start w:val="1"/>
      <w:numFmt w:val="bullet"/>
      <w:lvlText w:val="○"/>
      <w:lvlJc w:val="left"/>
      <w:pPr>
        <w:ind w:left="3600" w:hanging="360"/>
      </w:pPr>
    </w:lvl>
    <w:lvl w:ilvl="5" w15:tentative="1">
      <w:start w:val="1"/>
      <w:numFmt w:val="bullet"/>
      <w:lvlText w:val="■"/>
      <w:lvlJc w:val="left"/>
      <w:pPr>
        <w:ind w:left="4320" w:hanging="360"/>
      </w:pPr>
    </w:lvl>
    <w:lvl w:ilvl="6" w15:tentative="1">
      <w:start w:val="1"/>
      <w:numFmt w:val="bullet"/>
      <w:lvlText w:val="●"/>
      <w:lvlJc w:val="left"/>
      <w:pPr>
        <w:ind w:left="5040" w:hanging="360"/>
      </w:pPr>
    </w:lvl>
    <w:lvl w:ilvl="7" w15:tentative="1">
      <w:start w:val="1"/>
      <w:numFmt w:val="bullet"/>
      <w:lvlText w:val="●"/>
      <w:lvlJc w:val="left"/>
      <w:pPr>
        <w:ind w:left="5760" w:hanging="360"/>
      </w:pPr>
    </w:lvl>
    <w:lvl w:ilvl="8" w15:tentative="1">
      <w:start w:val="1"/>
      <w:numFmt w:val="bullet"/>
      <w:lvlText w:val="●"/>
      <w:lvlJc w:val="left"/>
      <w:pPr>
        <w:ind w:left="6480" w:hanging="360"/>
      </w:pPr>
    </w:lvl>
  </w:abstractNum>
  <w:abstractNum w:abstractNumId="2" w15:restartNumberingAfterBreak="0">
    <w:multiLevelType w:val="hybridMultilevel"/>
    <w:lvl w:ilvl="0" w15:tentative="1">
      <w:start w:val="1"/>
      <w:numFmt w:val="bullet"/>
      <w:lvlText w:val="•"/>
      <w:lvlJc w:val="left"/>
      <w:pPr>
        <w:ind w:left="720" w:hanging="360"/>
      </w:pPr>
    </w:lvl>
  </w:abstractNum>
  <w:num w:numId="1">
    <w:abstractNumId w:val="1"/>
    <w:lvlOverride w:ilvl="0">
      <w:startOverride w:val="1"/>
    </w:lvlOverride>
  </w:num>
</w:numbering>
</file>

<file path=word/settings.xml><?xml version="1.0" encoding="utf-8"?>
<w:setting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isplayBackgroundShape/>
  <w:evenAndOddHeaders w:val="false"/>
  <w:compat>
    <w:compatSetting w:val="15" w:uri="http://schemas.microsoft.com/office/word" w:name="compatibilityMode"/>
  </w:compat>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cs="Calibri" w:eastAsia="Calibri" w:hAnsi="Calibri"/>
        <w:sz w:val="22"/>
        <w:szCs w:val="22"/>
      </w:rPr>
    </w:rPrDefault>
    <w:pPrDefault/>
  </w:docDefaults>
  <w:style w:type="paragraph" w:styleId="Title">
    <w:name w:val="Title"/>
    <w:basedOn w:val="Normal"/>
    <w:next w:val="Normal"/>
    <w:qFormat/>
    <w:rPr>
      <w:sz w:val="56"/>
      <w:szCs w:val="56"/>
    </w:rPr>
  </w:style>
  <w:style w:type="paragraph" w:styleId="Heading1">
    <w:name w:val="Heading 1"/>
    <w:basedOn w:val="Normal"/>
    <w:next w:val="Normal"/>
    <w:qFormat/>
    <w:rPr>
      <w:color w:val="2E74B5"/>
      <w:sz w:val="32"/>
      <w:szCs w:val="32"/>
    </w:rPr>
  </w:style>
  <w:style w:type="paragraph" w:styleId="Heading2">
    <w:name w:val="Heading 2"/>
    <w:basedOn w:val="Normal"/>
    <w:next w:val="Normal"/>
    <w:qFormat/>
    <w:rPr>
      <w:color w:val="2E74B5"/>
      <w:sz w:val="26"/>
      <w:szCs w:val="26"/>
    </w:rPr>
  </w:style>
  <w:style w:type="paragraph" w:styleId="Heading3">
    <w:name w:val="Heading 3"/>
    <w:basedOn w:val="Normal"/>
    <w:next w:val="Normal"/>
    <w:qFormat/>
    <w:rPr>
      <w:color w:val="1F4D78"/>
      <w:sz w:val="24"/>
      <w:szCs w:val="24"/>
    </w:rPr>
  </w:style>
  <w:style w:type="paragraph" w:styleId="Heading4">
    <w:name w:val="Heading 4"/>
    <w:basedOn w:val="Normal"/>
    <w:next w:val="Normal"/>
    <w:qFormat/>
    <w:rPr>
      <w:i/>
      <w:iCs/>
      <w:color w:val="2E74B5"/>
    </w:rPr>
  </w:style>
  <w:style w:type="paragraph" w:styleId="Heading5">
    <w:name w:val="Heading 5"/>
    <w:basedOn w:val="Normal"/>
    <w:next w:val="Normal"/>
    <w:qFormat/>
    <w:rPr>
      <w:color w:val="2E74B5"/>
    </w:rPr>
  </w:style>
  <w:style w:type="paragraph" w:styleId="Heading6">
    <w:name w:val="Heading 6"/>
    <w:basedOn w:val="Normal"/>
    <w:next w:val="Normal"/>
    <w:qFormat/>
    <w:rPr>
      <w:color w:val="1F4D78"/>
    </w:rPr>
  </w:style>
  <w:style w:type="paragraph" w:styleId="Strong">
    <w:name w:val="Strong"/>
    <w:basedOn w:val="Normal"/>
    <w:next w:val="Normal"/>
    <w:qFormat/>
    <w:rPr>
      <w:b/>
      <w:bCs/>
    </w:rPr>
  </w:style>
  <w:style w:type="paragraph" w:styleId="ListParagraph">
    <w:name w:val="List Paragraph"/>
    <w:basedOn w:val="Normal"/>
    <w:qFormat/>
  </w:style>
  <w:style w:type="character" w:styleId="Hyperlink">
    <w:name w:val="Hyperlink"/>
    <w:basedOn w:val="DefaultParagraphFont"/>
    <w:uiPriority w:val="99"/>
    <w:unhideWhenUsed/>
    <w:rPr>
      <w:color w:val="0563C1"/>
      <w:u w:val="single"/>
    </w:rPr>
  </w:style>
  <w:style w:type="character" w:styleId="FootnoteReference">
    <w:name w:val="footnote reference"/>
    <w:basedOn w:val="DefaultParagraphFont"/>
    <w:uiPriority w:val="99"/>
    <w:semiHidden/>
    <w:unhideWhenUsed/>
    <w:rPr>
      <w:vertAlign w:val="superscript"/>
    </w:rPr>
  </w:style>
  <w:style w:type="paragraph" w:styleId="FootnoteText">
    <w:name w:val="footnote text"/>
    <w:basedOn w:val="Normal"/>
    <w:link w:val="FootnoteTextChar"/>
    <w:uiPriority w:val="99"/>
    <w:semiHidden/>
    <w:unhideWhenUsed/>
    <w:pPr>
      <w:spacing w:after="0" w:line="240" w:lineRule="auto"/>
    </w:pPr>
    <w:rPr>
      <w:sz w:val="20"/>
      <w:szCs w:val="20"/>
    </w:rPr>
  </w:style>
  <w:style w:type="character" w:styleId="FootnoteTextChar">
    <w:name w:val="Footnote Text Char"/>
    <w:basedOn w:val="DefaultParagraphFont"/>
    <w:link w:val="FootnoteText"/>
    <w:uiPriority w:val="99"/>
    <w:semiHidden/>
    <w:unhideWhenUsed/>
    <w:rPr>
      <w:sz w:val="20"/>
      <w:szCs w:val="20"/>
    </w:rPr>
  </w:style>
  <w:style w:type="paragraph" w:styleId="Heading1">
    <w:name w:val="Heading 1"/>
    <w:basedOn w:val="Normal"/>
    <w:next w:val="Normal"/>
    <w:qFormat/>
    <w:pPr>
      <w:spacing w:before="480" w:after="240"/>
      <w:outlineLvl w:val="0"/>
    </w:pPr>
    <w:rPr>
      <w:rFonts w:ascii="Calibri" w:cs="Calibri" w:eastAsia="Calibri" w:hAnsi="Calibri"/>
      <w:b/>
      <w:bCs/>
      <w:color w:val="1F4788"/>
      <w:sz w:val="36"/>
      <w:szCs w:val="36"/>
    </w:rPr>
  </w:style>
  <w:style w:type="paragraph" w:styleId="Heading2">
    <w:name w:val="Heading 2"/>
    <w:basedOn w:val="Normal"/>
    <w:next w:val="Normal"/>
    <w:qFormat/>
    <w:pPr>
      <w:spacing w:before="360" w:after="200"/>
      <w:outlineLvl w:val="1"/>
    </w:pPr>
    <w:rPr>
      <w:rFonts w:ascii="Calibri" w:cs="Calibri" w:eastAsia="Calibri" w:hAnsi="Calibri"/>
      <w:b/>
      <w:bCs/>
      <w:color w:val="2E5090"/>
      <w:sz w:val="30"/>
      <w:szCs w:val="30"/>
    </w:rPr>
  </w:style>
  <w:style w:type="paragraph" w:styleId="Heading3">
    <w:name w:val="Heading 3"/>
    <w:basedOn w:val="Normal"/>
    <w:next w:val="Normal"/>
    <w:qFormat/>
    <w:pPr>
      <w:spacing w:before="280" w:after="160"/>
      <w:outlineLvl w:val="2"/>
    </w:pPr>
    <w:rPr>
      <w:rFonts w:ascii="Calibri" w:cs="Calibri" w:eastAsia="Calibri" w:hAnsi="Calibri"/>
      <w:b/>
      <w:bCs/>
      <w:color w:val="365F91"/>
      <w:sz w:val="26"/>
      <w:szCs w:val="26"/>
    </w:rPr>
  </w:style>
</w:styles>
</file>

<file path=word/_rels/comments.xml.rels><?xml version="1.0" encoding="UTF-8"?><Relationships xmlns="http://schemas.openxmlformats.org/package/2006/relationships"/>
</file>

<file path=word/_rels/document.xml.rels><?xml version="1.0" encoding="UTF-8"?><Relationships xmlns="http://schemas.openxmlformats.org/package/2006/relationships"><Relationship Id="rId1" Type="http://schemas.openxmlformats.org/officeDocument/2006/relationships/styles" Target="styles.xml"/><Relationship Id="rId2" Type="http://schemas.openxmlformats.org/officeDocument/2006/relationships/numbering" Target="numbering.xml"/><Relationship Id="rId3" Type="http://schemas.openxmlformats.org/officeDocument/2006/relationships/footnotes" Target="footnotes.xml"/><Relationship Id="rId4" Type="http://schemas.openxmlformats.org/officeDocument/2006/relationships/settings" Target="settings.xml"/><Relationship Id="rId5" Type="http://schemas.openxmlformats.org/officeDocument/2006/relationships/comments" Target="comments.xml"/><Relationship Id="rId6" Type="http://schemas.openxmlformats.org/officeDocument/2006/relationships/header" Target="header1.xml"/><Relationship Id="rId7" Type="http://schemas.openxmlformats.org/officeDocument/2006/relationships/footer" Target="footer1.xml"/><Relationship Id="rId8" Type="http://schemas.openxmlformats.org/officeDocument/2006/relationships/image" Target="media/cf160d23794973161efb95cc794f479dda0b8d62.png"/><Relationship Id="rId9" Type="http://schemas.openxmlformats.org/officeDocument/2006/relationships/image" Target="media/13372e6c440add6dcdaa15b2d0a590c9ed38452e.png"/><Relationship Id="rId10" Type="http://schemas.openxmlformats.org/officeDocument/2006/relationships/image" Target="media/ed77af254a5a028963c64154bdb1b045624c603c.png"/><Relationship Id="rId11" Type="http://schemas.openxmlformats.org/officeDocument/2006/relationships/image" Target="media/d4d703eeff638eeea5bdf857de335e2217c30995.png"/><Relationship Id="rId12" Type="http://schemas.openxmlformats.org/officeDocument/2006/relationships/image" Target="media/12c6eada0f163750980866fcb3103dd8261202b8.png"/><Relationship Id="rId13" Type="http://schemas.openxmlformats.org/officeDocument/2006/relationships/image" Target="media/88a358cc15a2756eadd25b8c979941a0b7cceb31.png"/><Relationship Id="rId14" Type="http://schemas.openxmlformats.org/officeDocument/2006/relationships/image" Target="media/3bbf2fea15c98e504220149612ec6ed2d9f8b6bc.png"/><Relationship Id="rId15" Type="http://schemas.openxmlformats.org/officeDocument/2006/relationships/image" Target="media/08e57ff2b5cc73f1ac313cdf376eb8eb12d5182e.png"/><Relationship Id="rId16" Type="http://schemas.openxmlformats.org/officeDocument/2006/relationships/fontTable" Target="fontTable.xml"/></Relationships>
</file>

<file path=word/_rels/fontTable.xml.rels><?xml version="1.0" encoding="UTF-8"?><Relationships xmlns="http://schemas.openxmlformats.org/package/2006/relationships"/>
</file>

<file path=word/_rels/footer1.xml.rels><?xml version="1.0" encoding="UTF-8"?><Relationships xmlns="http://schemas.openxmlformats.org/package/2006/relationships"/>
</file>

<file path=word/_rels/footnotes.xml.rels><?xml version="1.0" encoding="UTF-8"?><Relationships xmlns="http://schemas.openxmlformats.org/package/2006/relationships"/>
</file>

<file path=word/_rels/header1.xml.rels><?xml version="1.0" encoding="UTF-8"?><Relationships xmlns="http://schemas.openxmlformats.org/package/2006/relationships"/>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Un-named</dc:creator>
  <cp:lastModifiedBy>Un-named</cp:lastModifiedBy>
  <cp:revision>1</cp:revision>
  <dcterms:created xsi:type="dcterms:W3CDTF">2026-02-02T00:24:16.431Z</dcterms:created>
  <dcterms:modified xsi:type="dcterms:W3CDTF">2026-02-02T00:24:16.432Z</dcterms:modified>
</cp:coreProperties>
</file>

<file path=docProps/custom.xml><?xml version="1.0" encoding="utf-8"?>
<Properties xmlns="http://schemas.openxmlformats.org/officeDocument/2006/custom-properties" xmlns:vt="http://schemas.openxmlformats.org/officeDocument/2006/docPropsVTypes"/>
</file>